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762E6D" w:rsidRPr="00255702" w:rsidP="00762E6D" w14:paraId="09436C54" w14:textId="77777777">
      <w:pPr>
        <w:pStyle w:val="NoSpacing"/>
        <w:spacing w:before="240" w:after="240" w:line="360" w:lineRule="auto"/>
        <w:ind w:right="-284"/>
        <w:jc w:val="center"/>
        <w:rPr>
          <w:rStyle w:val="Strong"/>
          <w:rFonts w:ascii="Cambria" w:hAnsi="Cambria" w:cs="Arial"/>
          <w:color w:val="000000" w:themeColor="text1"/>
          <w:sz w:val="32"/>
          <w:szCs w:val="32"/>
        </w:rPr>
      </w:pPr>
      <w:r w:rsidRPr="00255702">
        <w:rPr>
          <w:rStyle w:val="Strong"/>
          <w:rFonts w:ascii="Cambria" w:hAnsi="Cambria" w:cs="Arial"/>
          <w:color w:val="000000" w:themeColor="text1"/>
          <w:sz w:val="32"/>
          <w:szCs w:val="32"/>
        </w:rPr>
        <w:t>EXMO. SR. PRESIDENTE DA CÂMARA MUNICIPAL DE SUMARÉ</w:t>
      </w:r>
    </w:p>
    <w:p w:rsidR="00762E6D" w:rsidRPr="00255702" w:rsidP="00762E6D" w14:paraId="7A9F7701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62E6D" w:rsidRPr="00255702" w:rsidP="00762E6D" w14:paraId="52A54CCF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55702">
        <w:rPr>
          <w:rFonts w:ascii="Cambria" w:hAnsi="Cambria" w:cs="Arial"/>
          <w:color w:val="000000" w:themeColor="text1"/>
          <w:sz w:val="24"/>
          <w:szCs w:val="24"/>
        </w:rPr>
        <w:t xml:space="preserve">CONSIDERANDO que é função constitucional desta Casa de Leis realizar o controle externo parlamentar sobre atos e contratos administrativos relacionados ao interesse público no âmbito do Município de Sumaré, sempre com o intuito de garantir a prestação dos serviços públicos com eficiência, eficácia e efetividade; </w:t>
      </w:r>
    </w:p>
    <w:p w:rsidR="00762E6D" w:rsidRPr="00255702" w:rsidP="00762E6D" w14:paraId="2A808D53" w14:textId="3D5E1510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55702">
        <w:rPr>
          <w:rFonts w:ascii="Cambria" w:hAnsi="Cambria" w:cs="Arial"/>
          <w:color w:val="000000" w:themeColor="text1"/>
          <w:sz w:val="24"/>
          <w:szCs w:val="24"/>
        </w:rPr>
        <w:t>CONSIDERANDO que a Secretaria de Mobilidade Urbana e Rural</w:t>
      </w:r>
      <w:r w:rsidRPr="00255702" w:rsidR="00255702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55702">
        <w:rPr>
          <w:rFonts w:ascii="Cambria" w:hAnsi="Cambria" w:cs="Arial"/>
          <w:color w:val="000000" w:themeColor="text1"/>
          <w:sz w:val="24"/>
          <w:szCs w:val="24"/>
        </w:rPr>
        <w:t>(SEMUR) tem as seguintes atribuições:</w:t>
      </w:r>
    </w:p>
    <w:p w:rsidR="00762E6D" w:rsidRPr="00255702" w:rsidP="00762E6D" w14:paraId="20BA60C0" w14:textId="77777777">
      <w:pPr>
        <w:pStyle w:val="normas-descricao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aps/>
          <w:color w:val="000000" w:themeColor="text1"/>
          <w:sz w:val="21"/>
          <w:szCs w:val="21"/>
          <w:u w:val="single"/>
        </w:rPr>
      </w:pPr>
      <w:r w:rsidRPr="00255702">
        <w:rPr>
          <w:rFonts w:ascii="Helvetica" w:hAnsi="Helvetica" w:cs="Helvetica"/>
          <w:caps/>
          <w:color w:val="000000" w:themeColor="text1"/>
          <w:sz w:val="21"/>
          <w:szCs w:val="21"/>
          <w:u w:val="single"/>
        </w:rPr>
        <w:t>LEI Nº 4.766, DE 24 DE DEZEMBRO DE 2008</w:t>
      </w:r>
    </w:p>
    <w:p w:rsidR="00762E6D" w:rsidRPr="00255702" w:rsidP="00762E6D" w14:paraId="291E770D" w14:textId="77777777">
      <w:pPr>
        <w:pStyle w:val="normas-ementa"/>
        <w:shd w:val="clear" w:color="auto" w:fill="FFFFFF"/>
        <w:spacing w:before="0" w:beforeAutospacing="0" w:after="150" w:afterAutospacing="0"/>
        <w:ind w:left="5103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Dispõe sobre a reorganização administrativa e a reestruturação dos cargos e salários que especifica, da Administração Direta no Poder Executivo Municipal, e dá outras providências.</w:t>
      </w:r>
    </w:p>
    <w:p w:rsidR="00762E6D" w:rsidRPr="00255702" w:rsidP="00762E6D" w14:paraId="10C9E446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62E6D" w:rsidRPr="00255702" w:rsidP="00762E6D" w14:paraId="2C470DE6" w14:textId="77777777">
      <w:pPr>
        <w:pStyle w:val="cabealho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Seção VII</w:t>
      </w:r>
      <w:r w:rsidRPr="0025570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br/>
        <w:t>Da Secretaria Municipal de Mobilidade Urbana e Rural</w:t>
      </w:r>
    </w:p>
    <w:p w:rsidR="00762E6D" w:rsidRPr="00255702" w:rsidP="00762E6D" w14:paraId="3CECFA6F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Style w:val="normas-indices-artigo"/>
          <w:rFonts w:ascii="Helvetica" w:hAnsi="Helvetica" w:cs="Helvetica"/>
          <w:color w:val="000000" w:themeColor="text1"/>
          <w:sz w:val="21"/>
          <w:szCs w:val="21"/>
        </w:rPr>
        <w:t>Art. 40.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 A Secretaria Municipal de Mobilidade Urbana e Rural terá as seguintes atribuições:</w:t>
      </w:r>
    </w:p>
    <w:p w:rsidR="00762E6D" w:rsidRPr="00255702" w:rsidP="00762E6D" w14:paraId="6A5051E8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I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cumprir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 e fazer cumprir a legislação e as normas de trânsito, no âmbito de suas atribuições;</w:t>
      </w:r>
    </w:p>
    <w:p w:rsidR="00762E6D" w:rsidRPr="00255702" w:rsidP="00762E6D" w14:paraId="26632C77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II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planejar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, projetar, regulamentar e operar o trânsito de veículos, de pedestres e de animais, e promover o desenvolvimento da circulação e da segurança de ciclistas;</w:t>
      </w:r>
    </w:p>
    <w:p w:rsidR="00762E6D" w:rsidRPr="00255702" w:rsidP="00762E6D" w14:paraId="45AD9C62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III - implantar, manter e operar o sistema de sinalização, os dispositivos e os equipamentos de controle viário;</w:t>
      </w:r>
    </w:p>
    <w:p w:rsidR="00762E6D" w:rsidRPr="00255702" w:rsidP="00762E6D" w14:paraId="30553C8F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IV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coletar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 dados estatísticos e elaborar estudos sobre os acidentes de trânsito e suas causas;</w:t>
      </w:r>
    </w:p>
    <w:p w:rsidR="00762E6D" w:rsidRPr="00255702" w:rsidP="00762E6D" w14:paraId="51011570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V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estabelecer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, em conjunto com outros órgãos públicos, de qualquer esfera governamental, as diretrizes para o policiamento ostensivo de trânsito e transporte;</w:t>
      </w:r>
    </w:p>
    <w:p w:rsidR="00762E6D" w:rsidRPr="00255702" w:rsidP="00762E6D" w14:paraId="31A03B36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VI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executar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 a fiscalização de trânsito e transporte, autuar e aplicar as medidas administrativas cabíveis, por infrações de circulação, estacionamento e parada, previstas no Código de Trânsito Brasileiro, no exercício regular do Poder de Polícia de Trânsito;</w:t>
      </w:r>
    </w:p>
    <w:p w:rsidR="00762E6D" w:rsidRPr="00255702" w:rsidP="00762E6D" w14:paraId="6B0C5211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VII - aplicar as penalidades de advertência por escrito e multa, por infrações de circulação, estacionamento e parada, previstas no Código de Trânsito Brasileiro, notificando os infratores e arrecadando as multas que aplicar;</w:t>
      </w:r>
    </w:p>
    <w:p w:rsidR="007904BB" w:rsidP="00762E6D" w14:paraId="5F8E1AA9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</w:p>
    <w:p w:rsidR="007904BB" w:rsidP="00762E6D" w14:paraId="7A99F91E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</w:p>
    <w:p w:rsidR="00762E6D" w:rsidRPr="00255702" w:rsidP="00762E6D" w14:paraId="52B55301" w14:textId="69A1ADEB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VIII - fiscalizar, autuar e aplicar as penalidades e medidas administrativas cabíveis relativas a infrações por excesso de peso, dimensões e lotação dos veículos, bem como notificar e arrecadar as multas que aplicar;</w:t>
      </w:r>
    </w:p>
    <w:p w:rsidR="00762E6D" w:rsidRPr="00255702" w:rsidP="00762E6D" w14:paraId="113E3EE2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IX - fiscalizar o cumprimento da norma contida no art. 95 do </w:t>
      </w:r>
      <w:hyperlink r:id="rId5" w:anchor="art95" w:tgtFrame="_blank" w:history="1">
        <w:r w:rsidRPr="00255702">
          <w:rPr>
            <w:rStyle w:val="Hyperlink"/>
            <w:rFonts w:ascii="Helvetica" w:hAnsi="Helvetica" w:cs="Helvetica"/>
            <w:color w:val="000000" w:themeColor="text1"/>
            <w:sz w:val="21"/>
            <w:szCs w:val="21"/>
          </w:rPr>
          <w:t>Código de Trânsito Brasileiro</w:t>
        </w:r>
      </w:hyperlink>
      <w:r w:rsidRPr="00255702">
        <w:rPr>
          <w:rFonts w:ascii="Helvetica" w:hAnsi="Helvetica" w:cs="Helvetica"/>
          <w:color w:val="000000" w:themeColor="text1"/>
          <w:sz w:val="21"/>
          <w:szCs w:val="21"/>
        </w:rPr>
        <w:t>, aplicando as penalidades e arrecadando as multas nele previstas;</w:t>
      </w:r>
    </w:p>
    <w:p w:rsidR="00762E6D" w:rsidRPr="00255702" w:rsidP="00762E6D" w14:paraId="1BFF1EB3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X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implantar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, manter e operar direta ou indiretamente o sistema de estacionamento rotativo pago nas vias públicas;</w:t>
      </w:r>
    </w:p>
    <w:p w:rsidR="00762E6D" w:rsidRPr="00255702" w:rsidP="00762E6D" w14:paraId="25496E27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XI - arrecadar valores provenientes de estada e remoção de veículos e objetos, e escolta de veículos de cargas superdimensionadas ou perigosas;</w:t>
      </w:r>
    </w:p>
    <w:p w:rsidR="00762E6D" w:rsidRPr="00255702" w:rsidP="00762E6D" w14:paraId="0D139FB2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XII - credenciar os serviços de escolta, fiscalizar e adotar medidas de segurança relativas aos serviços de remoção de veículos, escolta e transporte de carga indivisível;</w:t>
      </w:r>
    </w:p>
    <w:p w:rsidR="00762E6D" w:rsidRPr="00255702" w:rsidP="00762E6D" w14:paraId="44E214C1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XIII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:rsidR="00762E6D" w:rsidRPr="00255702" w:rsidP="00762E6D" w14:paraId="30430695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XIV - implantar as medidas das Políticas Nacional, Estadual e Municipal de Trânsito e do Programa Nacional, Estadual e Municipal de Trânsito, respeitadas as competências de cada esfera governamental;</w:t>
      </w:r>
    </w:p>
    <w:p w:rsidR="00762E6D" w:rsidRPr="00255702" w:rsidP="00762E6D" w14:paraId="16604D23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XV - 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>promover e participar</w:t>
      </w:r>
      <w:r w:rsidRPr="00255702">
        <w:rPr>
          <w:rFonts w:ascii="Helvetica" w:hAnsi="Helvetica" w:cs="Helvetica"/>
          <w:color w:val="000000" w:themeColor="text1"/>
          <w:sz w:val="21"/>
          <w:szCs w:val="21"/>
        </w:rPr>
        <w:t xml:space="preserve"> de projetos e programas de educação e segurança de trânsito de acordo com as diretrizes estabelecidas pelo CONTRAN;</w:t>
      </w:r>
    </w:p>
    <w:p w:rsidR="00762E6D" w:rsidRPr="00255702" w:rsidP="00762E6D" w14:paraId="077BE460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XVI - planejar e implantar medidas para redução da circulação de veículos e reorientação do tráfego, com o objetivo de diminuir a emissão global de poluentes;</w:t>
      </w:r>
    </w:p>
    <w:p w:rsidR="00762E6D" w:rsidRPr="00255702" w:rsidP="00762E6D" w14:paraId="36F4F43E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XVII - registrar e fiscalizar, na forma da legislação, ciclomotores, veículos de tração e propulsão humana e de tração animal, fiscalizando, autuando, aplicando penalidades e arrecadando multas decorrentes de infrações;</w:t>
      </w:r>
    </w:p>
    <w:p w:rsidR="00762E6D" w:rsidRPr="00255702" w:rsidP="00762E6D" w14:paraId="6E4ABF4B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XVIII - conceder autorização para conduzir veículos de propulsão humana e de tração animal;</w:t>
      </w:r>
    </w:p>
    <w:p w:rsidR="00762E6D" w:rsidRPr="00255702" w:rsidP="00762E6D" w14:paraId="4499991B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XIX - articular-se com os demais órgãos de Trânsito e Transporte no Estado e na União;</w:t>
      </w:r>
    </w:p>
    <w:p w:rsidR="00762E6D" w:rsidRPr="00255702" w:rsidP="00762E6D" w14:paraId="53937A32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XX - fiscalizar o nível de emissão de poluentes e ruído, produzidos pelos veículos automotores ou pela sua carga, de acordo com o estabelecido no artigo 66 do </w:t>
      </w:r>
      <w:hyperlink r:id="rId5" w:anchor="art66" w:tgtFrame="_blank" w:history="1">
        <w:r w:rsidRPr="00255702">
          <w:rPr>
            <w:rStyle w:val="Hyperlink"/>
            <w:rFonts w:ascii="Helvetica" w:hAnsi="Helvetica" w:cs="Helvetica"/>
            <w:color w:val="000000" w:themeColor="text1"/>
            <w:sz w:val="21"/>
            <w:szCs w:val="21"/>
          </w:rPr>
          <w:t>Código de Trânsito Brasileiro</w:t>
        </w:r>
      </w:hyperlink>
      <w:r w:rsidRPr="00255702">
        <w:rPr>
          <w:rFonts w:ascii="Helvetica" w:hAnsi="Helvetica" w:cs="Helvetica"/>
          <w:color w:val="000000" w:themeColor="text1"/>
          <w:sz w:val="21"/>
          <w:szCs w:val="21"/>
        </w:rPr>
        <w:t>, além de dar apoio às ações específicas de órgão ambiental local, quando solicitado;</w:t>
      </w:r>
    </w:p>
    <w:p w:rsidR="00762E6D" w:rsidRPr="00255702" w:rsidP="00762E6D" w14:paraId="5BC3C4C0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XXI - vistoriar veículos que necessitem de autorização especial para transitar e estabelecer os requisitos técnicos a serem observados para a circulação desses veículos.</w:t>
      </w:r>
    </w:p>
    <w:p w:rsidR="00762E6D" w:rsidRPr="00255702" w:rsidP="00762E6D" w14:paraId="005FEBDF" w14:textId="77777777">
      <w:pPr>
        <w:pStyle w:val="normalweb0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255702">
        <w:rPr>
          <w:rFonts w:ascii="Helvetica" w:hAnsi="Helvetica" w:cs="Helvetica"/>
          <w:color w:val="000000" w:themeColor="text1"/>
          <w:sz w:val="21"/>
          <w:szCs w:val="21"/>
        </w:rPr>
        <w:t>XXII - desenvolver outras atividades correlatas, afins ou complementares à sua competência assim determinadas por ato específico do Chefe do Poder Executivo.</w:t>
      </w:r>
    </w:p>
    <w:p w:rsidR="00762E6D" w:rsidRPr="00255702" w:rsidP="00762E6D" w14:paraId="7AE86F9F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62E6D" w:rsidRPr="00255702" w:rsidP="00762E6D" w14:paraId="420F2E02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255702">
        <w:rPr>
          <w:rFonts w:ascii="Cambria" w:hAnsi="Cambria" w:eastAsiaTheme="minorHAnsi" w:cs="Arial"/>
          <w:color w:val="000000" w:themeColor="text1"/>
          <w:lang w:eastAsia="en-US"/>
        </w:rPr>
        <w:t xml:space="preserve">Diante das atribuições elencadas, requeiro pelo presente e na forma regimental, após ouvido o Plenário, que seja oficiado o Exmo. Sr. Prefeito Municipal, e a ele solicitado que </w:t>
      </w:r>
      <w:r w:rsidRPr="00255702">
        <w:rPr>
          <w:rFonts w:ascii="Cambria" w:hAnsi="Cambria" w:eastAsiaTheme="minorHAnsi" w:cs="Arial"/>
          <w:b/>
          <w:color w:val="000000" w:themeColor="text1"/>
          <w:lang w:eastAsia="en-US"/>
        </w:rPr>
        <w:t>encaminhe SEMUR</w:t>
      </w:r>
      <w:r w:rsidRPr="00255702">
        <w:rPr>
          <w:rFonts w:ascii="Cambria" w:hAnsi="Cambria" w:eastAsiaTheme="minorHAnsi" w:cs="Arial"/>
          <w:color w:val="000000" w:themeColor="text1"/>
          <w:lang w:eastAsia="en-US"/>
        </w:rPr>
        <w:t xml:space="preserve"> os seguintes questionamentos desta Casa de Leis:</w:t>
      </w:r>
    </w:p>
    <w:p w:rsidR="007904BB" w:rsidP="007904BB" w14:paraId="3F9D9F97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</w:p>
    <w:p w:rsidR="00762E6D" w:rsidRPr="00255702" w:rsidP="00762E6D" w14:paraId="5B64E5B5" w14:textId="7FF6F18D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255702">
        <w:rPr>
          <w:rFonts w:ascii="Cambria" w:hAnsi="Cambria" w:eastAsiaTheme="minorHAnsi" w:cs="Arial"/>
          <w:color w:val="000000" w:themeColor="text1"/>
          <w:lang w:eastAsia="en-US"/>
        </w:rPr>
        <w:t>Qual é o método/critério utilizado no padrão da construção das lombadas?</w:t>
      </w:r>
    </w:p>
    <w:p w:rsidR="00762E6D" w:rsidRPr="00255702" w:rsidP="00762E6D" w14:paraId="48CD2892" w14:textId="77777777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255702">
        <w:rPr>
          <w:rFonts w:ascii="Cambria" w:hAnsi="Cambria" w:eastAsiaTheme="minorHAnsi" w:cs="Arial"/>
          <w:color w:val="000000" w:themeColor="text1"/>
          <w:lang w:eastAsia="en-US"/>
        </w:rPr>
        <w:t>Laudo do engenheiro responsável</w:t>
      </w:r>
    </w:p>
    <w:p w:rsidR="00762E6D" w:rsidRPr="00255702" w:rsidP="00762E6D" w14:paraId="019A3E63" w14:textId="77777777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255702">
        <w:rPr>
          <w:rFonts w:ascii="Cambria" w:hAnsi="Cambria" w:eastAsiaTheme="minorHAnsi" w:cs="Arial"/>
          <w:color w:val="000000" w:themeColor="text1"/>
          <w:lang w:eastAsia="en-US"/>
        </w:rPr>
        <w:t>A autorização da Secretaria competente</w:t>
      </w:r>
    </w:p>
    <w:p w:rsidR="00762E6D" w:rsidRPr="00255702" w:rsidP="00762E6D" w14:paraId="15580B2C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</w:p>
    <w:p w:rsidR="00762E6D" w:rsidRPr="00255702" w:rsidP="00762E6D" w14:paraId="6DB15B18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hAnsi="Arial" w:eastAsiaTheme="minorHAnsi" w:cs="Arial"/>
          <w:color w:val="000000" w:themeColor="text1"/>
          <w:lang w:eastAsia="en-US"/>
        </w:rPr>
      </w:pPr>
    </w:p>
    <w:p w:rsidR="00762E6D" w:rsidRPr="00255702" w:rsidP="00762E6D" w14:paraId="48009154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  <w:r w:rsidRPr="00255702">
        <w:rPr>
          <w:rFonts w:ascii="Cambria" w:hAnsi="Cambria"/>
          <w:color w:val="000000" w:themeColor="text1"/>
          <w:sz w:val="24"/>
        </w:rPr>
        <w:t xml:space="preserve">Sala das Sessões, 22 de abril de 2024. </w:t>
      </w:r>
    </w:p>
    <w:p w:rsidR="00762E6D" w:rsidRPr="00255702" w:rsidP="00762E6D" w14:paraId="58D4316F" w14:textId="77777777">
      <w:pPr>
        <w:ind w:left="709" w:right="-284" w:firstLine="709"/>
        <w:rPr>
          <w:rFonts w:ascii="Cambria" w:hAnsi="Cambria" w:cs="Arial"/>
          <w:color w:val="000000" w:themeColor="text1"/>
          <w:sz w:val="24"/>
          <w:szCs w:val="24"/>
        </w:rPr>
      </w:pPr>
    </w:p>
    <w:p w:rsidR="00762E6D" w:rsidRPr="00255702" w:rsidP="00762E6D" w14:paraId="4E9159E2" w14:textId="146F2383">
      <w:pPr>
        <w:pStyle w:val="NormalWeb"/>
        <w:shd w:val="clear" w:color="auto" w:fill="FFFFFF"/>
        <w:spacing w:before="60" w:beforeAutospacing="0" w:after="0" w:afterAutospacing="0"/>
        <w:ind w:right="-284"/>
        <w:rPr>
          <w:rFonts w:ascii="Cambria" w:hAnsi="Cambria" w:cs="Arial"/>
          <w:b/>
          <w:color w:val="000000" w:themeColor="text1"/>
          <w:spacing w:val="2"/>
        </w:rPr>
      </w:pPr>
    </w:p>
    <w:p w:rsidR="00762E6D" w:rsidRPr="00255702" w:rsidP="00762E6D" w14:paraId="3932012D" w14:textId="0AC2FB13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Cs/>
          <w:color w:val="000000" w:themeColor="text1"/>
          <w:spacing w:val="2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623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31680"/>
    <w:rsid w:val="00255702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2E6D"/>
    <w:rsid w:val="00765E28"/>
    <w:rsid w:val="0078086A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55E27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leis/l9503compilado.htm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4434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6</cp:revision>
  <cp:lastPrinted>2024-04-29T13:14:00Z</cp:lastPrinted>
  <dcterms:created xsi:type="dcterms:W3CDTF">2024-04-15T12:20:00Z</dcterms:created>
  <dcterms:modified xsi:type="dcterms:W3CDTF">2024-04-29T13:17:00Z</dcterms:modified>
</cp:coreProperties>
</file>