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45D3B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F7528" w:rsidR="007F7528">
        <w:rPr>
          <w:rFonts w:ascii="Bookman Old Style" w:hAnsi="Bookman Old Style" w:cs="Arial"/>
          <w:sz w:val="24"/>
          <w:szCs w:val="24"/>
          <w:lang w:val="pt"/>
        </w:rPr>
        <w:t>Rua Carlos José Xavier da Silva, 97, Residencial Portal Bordon II</w:t>
      </w:r>
      <w:r w:rsidRPr="00B82A0B" w:rsidR="00B82A0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DC152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F7528">
        <w:rPr>
          <w:rFonts w:ascii="Bookman Old Style" w:hAnsi="Bookman Old Style" w:cs="Arial"/>
          <w:sz w:val="24"/>
          <w:szCs w:val="24"/>
          <w:lang w:val="pt"/>
        </w:rPr>
        <w:t>22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113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B32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7F7528"/>
    <w:rsid w:val="0082276B"/>
    <w:rsid w:val="00856B17"/>
    <w:rsid w:val="0089442B"/>
    <w:rsid w:val="008B3284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83</cp:revision>
  <dcterms:created xsi:type="dcterms:W3CDTF">2021-06-14T19:22:00Z</dcterms:created>
  <dcterms:modified xsi:type="dcterms:W3CDTF">2024-04-22T11:52:00Z</dcterms:modified>
</cp:coreProperties>
</file>