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2F1DC2A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23C073B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29248D3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A4A97B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1AAA9F9F" w14:textId="0F0829E3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P="00E91E4B" w14:paraId="1EBA5854" w14:textId="490A671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51517" w:rsidRPr="00F74D44" w:rsidP="00E91E4B" w14:paraId="2F20D4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6DDB3F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F20A337" w14:textId="1B2A56BE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066B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066B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066B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066BE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066B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D497B" w:rsidP="00ED497B" w14:paraId="161ECEEC" w14:textId="7777777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8"/>
          <w:szCs w:val="28"/>
          <w:lang w:val="pt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pt"/>
        </w:rPr>
        <w:t>Limpeza e varrição nos calçamentos dos bairros da região central.</w:t>
      </w:r>
    </w:p>
    <w:p w:rsidR="00ED497B" w:rsidP="00ED497B" w14:paraId="36F4DEBE" w14:textId="777777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pt"/>
        </w:rPr>
      </w:pPr>
      <w:r>
        <w:rPr>
          <w:rFonts w:ascii="Times New Roman" w:hAnsi="Times New Roman"/>
          <w:sz w:val="28"/>
          <w:szCs w:val="28"/>
          <w:lang w:val="pt"/>
        </w:rPr>
        <w:t>Local: Todos os calçamentos e praças públicas dos bairros da região central do Município de Sumaré.</w:t>
      </w:r>
      <w:bookmarkStart w:id="0" w:name="_GoBack"/>
      <w:bookmarkEnd w:id="0"/>
    </w:p>
    <w:p w:rsidR="00ED497B" w:rsidP="00ED497B" w14:paraId="6B1202E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pt"/>
        </w:rPr>
      </w:pPr>
    </w:p>
    <w:p w:rsidR="00ED497B" w:rsidP="00ED497B" w14:paraId="2D0636A1" w14:textId="77777777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rFonts w:ascii="Times New Roman" w:hAnsi="Times New Roman"/>
          <w:sz w:val="28"/>
          <w:szCs w:val="28"/>
          <w:lang w:val="pt"/>
        </w:rPr>
      </w:pPr>
    </w:p>
    <w:p w:rsidR="00ED497B" w:rsidP="00ED497B" w14:paraId="626A88BE" w14:textId="77777777">
      <w:pPr>
        <w:widowControl w:val="0"/>
        <w:autoSpaceDE w:val="0"/>
        <w:autoSpaceDN w:val="0"/>
        <w:adjustRightInd w:val="0"/>
        <w:spacing w:after="0" w:line="160" w:lineRule="atLeast"/>
        <w:jc w:val="both"/>
        <w:rPr>
          <w:rFonts w:ascii="Times New Roman" w:hAnsi="Times New Roman"/>
          <w:sz w:val="28"/>
          <w:szCs w:val="28"/>
          <w:lang w:val="pt"/>
        </w:rPr>
      </w:pPr>
    </w:p>
    <w:p w:rsidR="00ED497B" w:rsidP="00ED497B" w14:paraId="2C0CBB17" w14:textId="77777777">
      <w:pPr>
        <w:widowControl w:val="0"/>
        <w:autoSpaceDE w:val="0"/>
        <w:autoSpaceDN w:val="0"/>
        <w:adjustRightInd w:val="0"/>
        <w:spacing w:after="0" w:line="160" w:lineRule="atLeast"/>
        <w:ind w:firstLine="2880"/>
        <w:jc w:val="both"/>
        <w:rPr>
          <w:rFonts w:ascii="Times New Roman" w:hAnsi="Times New Roman"/>
          <w:sz w:val="28"/>
          <w:szCs w:val="28"/>
          <w:lang w:val="pt"/>
        </w:rPr>
      </w:pPr>
    </w:p>
    <w:p w:rsidR="00ED497B" w:rsidP="00ED497B" w14:paraId="7F722191" w14:textId="77777777">
      <w:pPr>
        <w:widowControl w:val="0"/>
        <w:autoSpaceDE w:val="0"/>
        <w:autoSpaceDN w:val="0"/>
        <w:adjustRightInd w:val="0"/>
        <w:spacing w:after="0" w:line="160" w:lineRule="atLeast"/>
        <w:jc w:val="center"/>
        <w:rPr>
          <w:rFonts w:ascii="Times New Roman" w:hAnsi="Times New Roman"/>
          <w:sz w:val="28"/>
          <w:szCs w:val="28"/>
          <w:lang w:val="pt"/>
        </w:rPr>
      </w:pPr>
      <w:r>
        <w:rPr>
          <w:rFonts w:ascii="Times New Roman" w:hAnsi="Times New Roman"/>
          <w:sz w:val="28"/>
          <w:szCs w:val="28"/>
          <w:lang w:val="pt"/>
        </w:rPr>
        <w:t>Sala das Sessões, 30 de março de 2021.</w:t>
      </w:r>
    </w:p>
    <w:p w:rsidR="00E91E4B" w:rsidP="00E91E4B" w14:paraId="56C3E29C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33D9681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67A3582" w14:textId="0A350B6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51517" w:rsidP="007B12C6" w14:paraId="30042599" w14:textId="2A231F9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51517" w:rsidP="007B12C6" w14:paraId="2080E3B7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09639432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317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C94CF3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3DD6ED4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888052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35397D0F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797F798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A65D1B0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BE7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24F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3E9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221F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4B1C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29C"/>
    <w:rsid w:val="00734FA7"/>
    <w:rsid w:val="0075151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0621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BF6C2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97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954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83FB6F-482E-4E84-8F47-E6ECF00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2021-01-29T20:17:00Z</dcterms:created>
  <dcterms:modified xsi:type="dcterms:W3CDTF">2021-03-30T12:42:00Z</dcterms:modified>
</cp:coreProperties>
</file>