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21D2C3D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B47C2F" w:rsidR="00B47C2F">
        <w:rPr>
          <w:rFonts w:ascii="Bookman Old Style" w:hAnsi="Bookman Old Style" w:cs="Arial"/>
          <w:bCs/>
          <w:sz w:val="24"/>
          <w:szCs w:val="24"/>
        </w:rPr>
        <w:t>Rua Antônio Catozi, 383, Pq. João de Vasconcelos.</w:t>
      </w:r>
      <w:bookmarkStart w:id="0" w:name="_GoBack"/>
      <w:bookmarkEnd w:id="0"/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5416F8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733FC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212C61">
        <w:rPr>
          <w:rFonts w:ascii="Bookman Old Style" w:hAnsi="Bookman Old Style" w:cs="Arial"/>
          <w:sz w:val="24"/>
          <w:szCs w:val="24"/>
        </w:rPr>
        <w:t>abril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006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4D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A2B4F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3364"/>
    <w:rsid w:val="00B47C2F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148</cp:revision>
  <cp:lastPrinted>2021-09-17T17:38:00Z</cp:lastPrinted>
  <dcterms:created xsi:type="dcterms:W3CDTF">2021-06-14T19:34:00Z</dcterms:created>
  <dcterms:modified xsi:type="dcterms:W3CDTF">2024-04-15T18:28:00Z</dcterms:modified>
</cp:coreProperties>
</file>