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82/2024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 Orçamentarias LDO para o exercício financeiro de 2025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