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76FF6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1E4C79">
        <w:rPr>
          <w:rFonts w:ascii="Arial" w:hAnsi="Arial" w:cs="Arial"/>
          <w:sz w:val="24"/>
          <w:szCs w:val="24"/>
        </w:rPr>
        <w:t>Constância Garcia Tanner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61B71D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E145F">
        <w:rPr>
          <w:rFonts w:ascii="Arial" w:hAnsi="Arial" w:cs="Arial"/>
          <w:sz w:val="24"/>
          <w:szCs w:val="24"/>
        </w:rPr>
        <w:t>Sumaré, 01 de abril de 2024.</w:t>
      </w:r>
    </w:p>
    <w:p w:rsidR="007E145F" w:rsidP="00C43183" w14:paraId="3F89160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5606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FE5F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1B08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5490D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0C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20DD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145F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1A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1780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43212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7DA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CFD"/>
    <w:rsid w:val="00EE6100"/>
    <w:rsid w:val="00EF20A7"/>
    <w:rsid w:val="00EF36E0"/>
    <w:rsid w:val="00EF6D8A"/>
    <w:rsid w:val="00EF7B67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0DA1"/>
    <w:rsid w:val="00FE5F2C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2024-04-01T15:33:00Z</dcterms:created>
  <dcterms:modified xsi:type="dcterms:W3CDTF">2024-04-01T15:33:00Z</dcterms:modified>
</cp:coreProperties>
</file>