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abelece Regras de Produtividade Fiscal e Adicional de Risco de Vida na forma que especifica e altera dispositivos legais que mencion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