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stabelece Regras de Produtividade Fiscal e Adicional de Risco de Vida na forma que especifica e altera dispositivos legais que mencion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