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BD0251">
        <w:rPr>
          <w:b/>
          <w:u w:val="single"/>
        </w:rPr>
        <w:t>Substituição das lâmpadas atuais por lâmpadas de LED nos postes de iluminação pública.</w:t>
      </w:r>
    </w:p>
    <w:p w:rsidR="005F0C21" w:rsidRPr="008D59CD" w:rsidP="00243D1B" w14:paraId="4308E84E" w14:textId="347DA530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005307">
        <w:t>das Crianças</w:t>
      </w:r>
      <w:r w:rsidRPr="008D59CD">
        <w:t xml:space="preserve">, </w:t>
      </w:r>
      <w:r w:rsidR="003C3999">
        <w:t>em toda a sua extensão</w:t>
      </w:r>
      <w:r w:rsidRPr="008D59CD">
        <w:t>.</w:t>
      </w:r>
    </w:p>
    <w:p w:rsidR="00E06B64" w:rsidRPr="008D59CD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AD2F80">
        <w:t>Residencial Bordon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1F4C9FBF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as atuais lâmpadas</w:t>
      </w:r>
      <w:r w:rsidR="00BF12B2">
        <w:t xml:space="preserve"> </w:t>
      </w:r>
      <w:r>
        <w:t>estão com baixa luminosidade 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="000064BF">
        <w:t>rua</w:t>
      </w:r>
      <w:r>
        <w:t xml:space="preserve"> com iluminação deficiente aumenta muito as chances de cometimento de crimes, impactando na segurança dos moradores locais. Certos da atenção que o caso requer.</w:t>
      </w:r>
    </w:p>
    <w:p w:rsidR="007A2AE8" w:rsidRPr="006F25D0" w:rsidP="007A2AE8" w14:paraId="7BEB0B56" w14:textId="29CB979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Pr="00C24188" w:rsidR="00CB0A27">
        <w:t>01 de abril de 2024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834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3E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0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064A6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C3E72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B0629"/>
    <w:rsid w:val="00CB0A27"/>
    <w:rsid w:val="00CD6B58"/>
    <w:rsid w:val="00CE550D"/>
    <w:rsid w:val="00CE78CC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71015"/>
    <w:rsid w:val="00E907AA"/>
    <w:rsid w:val="00E97665"/>
    <w:rsid w:val="00EB2B4F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2023-06-13T12:46:00Z</dcterms:created>
  <dcterms:modified xsi:type="dcterms:W3CDTF">2024-04-01T16:52:00Z</dcterms:modified>
</cp:coreProperties>
</file>