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dispositivos da Lei nº 6147 de 14 de março de 2019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