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349/2021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ALAN LEAL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OBRIGATORIEDADE DA ADOÇÃO DE HORÁRIOS ESPECIAIS COM EFEITOS LUMINOSOS E SONOROS REDUZIDOS NOS ESTABELECIMENTOS ESPECIFICADOS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novembro de 2021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