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349/2021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 ADOÇÃO DE HORÁRIOS ESPECIAIS COM EFEITOS LUMINOSOS E SONOROS REDUZIDOS NOS ESTABELECIMENTOS ESPECIFICADOS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novembro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