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349/2021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 ADOÇÃO DE HORÁRIOS ESPECIAIS COM EFEITOS LUMINOSOS E SONOROS REDUZIDOS NOS ESTABELECIMENTOS ESPECIFICADOS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