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riar o cartão relógio (“disco-hora”) para marcação do período de permanência e a alterar o período de tolerância sem pagamento de taxa de permanência de veículos em área de zona azul sem imposição de penalidade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