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reserva de 5% (cinco por cento) das unidades de moradia dos programas habitacionais populares às mulheres vítimas de violência doméstica e familiar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