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5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sponsabilidade pela coleta, transporte e disposição final ambientalmente adequada dos resíduos sólidos produzidos pelos grandes geradores, na forma que especifica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