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101/2021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obrigatoriedade das empresas Transporte Público Coletivo garantir medidas para o enfrentamento do COVID19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março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