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Acrescenta parágrafo terceiro ao artigo 1° da Lei Municipal n° 3801/2003, que dispõe sobre horário de funcionamento de bares, similares e outros estabelecimentos congéneres e da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