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parágrafo terceiro ao artigo 1° da Lei Municipal n° 3801/2003, que dispõe sobre horário de funcionamento de bares, similares e outros estabelecimentos congéneres e da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