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no orçamento vigente no valor de R$ 1.500.000,00 (um milhão, quinhentos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