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56/2024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no orçamento vigente no valor de R$ 1.500.000,00 (um milhão, quinhentos mil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