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153/2022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LUCAS AGOSTINHO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ao Projeto de Lei Nº 153/2022 - Proíbe a utilização de tecnologia de incineração de resíduos sólidos urbanos coletados no âmbito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setembro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