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211/2023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WILLIAN SOUZA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 isenção do Imposto Predial e Territorial Urbano (IPTU) para unidades residenciais que possuam moradores portadores de Transtorno do Espectro Autista (TEA)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setembro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