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64/2024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R$ 100,000,00 (Cem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