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Resolução Nº 3/2021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“Dispõe sobre a alteração do art. 46 da Resolução nº 311, de 16 de dezembro de 2020 (Regimento Interno da Câmara Municipal de Sumaré)”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38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3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