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Proposta de Emenda à Lei Orgânica Nº 1/2021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RUDINEI LOBO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“Altera a redação dos artigos 33 e 41 da Lei Orgânica do Município de Sumaré”.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fevereiro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