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63/2024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no orçamento vigente no valor de R$ 2.540.000,00 (dois milhões, quinhentos e quarenta mil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