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no orçamento vigente no valor de R$ 2.540.000,00 (dois milhões, quinhentos e quarenta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