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no orçamento vigente no valor de R$ 318.600,00 (trezentos e dezoito mil e seiscentos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