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62/2024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no orçamento vigente no valor de R$ 318.600,00 (trezentos e dezoito mil e seiscentos reais)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