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no orçamento vigente no valor de R$ 318.600,00 (trezentos e dezoito mil e seiscento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