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11/2023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TONINHO MINEIRO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Institui no Município de Sumaré a obrigatoriedade de serem impressos num espaço máximo de 10 ( dez) centímetros na parte frontal das receitas médicas expedidas pelo SUS os seguintes dizeres ‘UTILIDADE PÚBLICA’ seguido dos endereços e telefones das farmácias de alto custo existentes.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8 de fevereiro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