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Redutor de Velocidade (Lombada)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Rua: Sebastião Gonçalves, altura do n° 340, Bairro Jd. Denadai, Sumaré - SP..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32822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024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78743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40922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49163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03767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57648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