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no orçamento vigente no valor de R$ 71.000,00 (sessenta e um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