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57/2024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no orçamento vigente no valor de R$ 71.000,00 (sessenta e um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