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47/2024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“Dispõe sobre a proibição de uso de celulares e outros dispositivos tecnológicos pelos alunos nas unidades escolares da rede municipal de ensino do município de Sumaré, e dá outras providências. ”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