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46/2024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Revoga em seu inteiro teor a Lei Municipal n° 3848/2003, que denomina a área existente no quarteirão 81 do entroncamento da Avenida Júlia de  Vasconcelos Bufarah e a Rua Dom Barreto ao centro.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