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51/2024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no orçamento vigente no valor de R$ 373.905,31 (trezentos e setenta e três mil, novecentos e cinco reais e trinta e um centavos)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