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50/2024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autorização ao executivo municipal para promover a abertura de crédito adicional no orçamento vigente no valor de R$ 11.760,00 (onze mil e setecentos e sessenta reais) para os fins que especifica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5 de março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172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172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