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ao PL nº 08/2023 - Dispõe sobre  a obrigatoriedade de disponibilização de oportunidade para a apresentação de grupos, bandas, cantores ou instrumentistas do município na abertura de eventos culturais que possuam financiamento público municipal.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362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36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