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nº 08/2023 - Dispõe sobre  a obrigatoriedade de disponibilização de oportunidade para a apresentação de grupos, bandas, cantores ou instrumentistas do município na abertura de eventos culturais que possuam financiamento público municip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