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nº 08/2023 - Dispõe sobre  a obrigatoriedade de disponibilização de oportunidade para a apresentação de grupos, bandas, cantores ou instrumentistas do município na abertura de eventos culturais que possuam financiamento público municipa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