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136/2022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ao Projeto de Lei nº 136 de 2022. - Dispõe sobre a utilização obrigatória de temporizadores nos equipamentos de sinalização semafórica com detectores de avanço de sinal do Município de Sumaré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