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170/2022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Obriga a instalação e/ou melhoramento de iluminação pública em todas as paradas de ônibus no âmbito do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