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implantação do “Espaço Motoboy”, nas sub-regiões do município de Sumaré e da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