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56/2023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- Dispõe sobre a obrigatoriedade da aquisição de Livros em formato Braile, Audiolivros e outros meios.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