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192/2022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VALDIR DE OLIVEIRA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Serviço Especial Gratuito de Transporte para Tratamento de Saúde no município de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agosto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