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25/2024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Torna obrigatória a Prioridade de Atendimento às Mulheres Vítimas de Violência Doméstica e Familiar na Rede Municipal de Saúde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