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Emenda Nº 1 ao Projeto de Lei Nº 164/2023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ALAN LEAL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Emenda ao Projeto de Lei Nº 164/2023 - Dispõe sobre a obrigatoriedade da concessionária de saneamento básico do município de Sumaré a efetuar a limpeza de fossas e destinação dos resíduos para estação de tratamento de forma gratuita para às unidades residenciais e comerciais não servidas pela rede de esgotos sanitários, mas que pagam a taxa de esgotamento sanitário.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7 de dezembro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515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51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