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164/2023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Nº 164/2023 - Dispõe sobre a obrigatoriedade da concessionária de saneamento básico do município de Sumaré a efetuar a limpeza de fossas e destinação dos resíduos para estação de tratamento de forma gratuita para às unidades residenciais e comerciais não servidas pela rede de esgotos sanitários, mas que pagam a taxa de esgotamento sanitário.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