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164/2023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ao Projeto de Lei Nº 164/2023 - Dispõe sobre a obrigatoriedade da concessionária de saneamento básico do município de Sumaré a efetuar a limpeza de fossas e destinação dos resíduos para estação de tratamento de forma gratuita para às unidades residenciais e comerciais não servidas pela rede de esgotos sanitários, mas que pagam a taxa de esgotamento sanitário.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