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164/2023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ALAN LEAL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Emenda ao Projeto de Lei Nº 164/2023 - Dispõe sobre a obrigatoriedade da concessionária de saneamento básico do município de Sumaré a efetuar a limpeza de fossas e destinação dos resíduos para estação de tratamento de forma gratuita para às unidades residenciais e comerciais não servidas pela rede de esgotos sanitários, mas que pagam a taxa de esgotamento sanitário.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7 de dezembro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