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36/2024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autorização ao executivo municipal para promover a abertura de crédito adicional suplementar no orçamento vigente no valor de R$ 1.503.446,31 (um milhão, quinhentos e três mil, quatrocentos e quarenta e seis reais e trinta e um centavos) para os fins que especifica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