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ao redor dos túmulos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cemitério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devido a se encontrar com mato alto, com risco de proliferação de insetos e roedores.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13316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6433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29100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06391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53793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85896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82138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